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A" w:rsidRPr="00061175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175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54228E" w:rsidRPr="00061175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175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развитии и результатах процедуры оценки регулирующего воздействия в муниципальном </w:t>
      </w:r>
      <w:r w:rsidR="005D106B" w:rsidRPr="00061175">
        <w:rPr>
          <w:rFonts w:ascii="Times New Roman" w:eastAsia="Times New Roman" w:hAnsi="Times New Roman" w:cs="Times New Roman"/>
          <w:b/>
          <w:sz w:val="28"/>
          <w:szCs w:val="28"/>
        </w:rPr>
        <w:t>районе «Забайкальский район»</w:t>
      </w:r>
      <w:r w:rsidR="00C1277A" w:rsidRPr="00061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4439" w:rsidRPr="00061175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175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F2E7D" w:rsidRPr="000611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B2579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C1277A" w:rsidRPr="0006117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54228E" w:rsidRPr="00061175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8E" w:rsidRPr="00061175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7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</w:t>
      </w:r>
      <w:r w:rsidR="001C21D7" w:rsidRPr="00061175">
        <w:rPr>
          <w:rFonts w:ascii="Times New Roman" w:eastAsia="Times New Roman" w:hAnsi="Times New Roman" w:cs="Times New Roman"/>
          <w:sz w:val="28"/>
          <w:szCs w:val="28"/>
        </w:rPr>
        <w:t>йоне «Забайкальский район» в 202</w:t>
      </w:r>
      <w:r w:rsidR="00FB25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17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</w:t>
      </w:r>
      <w:r w:rsidR="00DC0335" w:rsidRPr="000611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175">
        <w:rPr>
          <w:rFonts w:ascii="Times New Roman" w:eastAsia="Times New Roman" w:hAnsi="Times New Roman" w:cs="Times New Roman"/>
          <w:sz w:val="28"/>
          <w:szCs w:val="28"/>
        </w:rPr>
        <w:t>сь процедур</w:t>
      </w:r>
      <w:r w:rsidR="00DC0335" w:rsidRPr="000611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1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319A" w:rsidRDefault="0054228E" w:rsidP="00682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11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27DE" w:rsidRPr="00061175">
        <w:rPr>
          <w:rFonts w:ascii="Times New Roman" w:eastAsia="Times New Roman" w:hAnsi="Times New Roman"/>
          <w:sz w:val="28"/>
          <w:szCs w:val="28"/>
        </w:rPr>
        <w:t>экспертизы</w:t>
      </w:r>
      <w:r w:rsidR="006827DE">
        <w:rPr>
          <w:rFonts w:ascii="Times New Roman" w:eastAsia="Times New Roman" w:hAnsi="Times New Roman"/>
          <w:sz w:val="28"/>
          <w:szCs w:val="28"/>
        </w:rPr>
        <w:t xml:space="preserve"> муниципальных нормативных правовых актов муниципального района «Забайкальский район» в целях выявления положений, необоснованно затрудняющих осуществление предпринимательско</w:t>
      </w:r>
      <w:r w:rsidR="00FB2579">
        <w:rPr>
          <w:rFonts w:ascii="Times New Roman" w:eastAsia="Times New Roman" w:hAnsi="Times New Roman"/>
          <w:sz w:val="28"/>
          <w:szCs w:val="28"/>
        </w:rPr>
        <w:t>й и инвестиционной деятельности;</w:t>
      </w:r>
    </w:p>
    <w:p w:rsidR="00FB2579" w:rsidRPr="006827DE" w:rsidRDefault="00FB2579" w:rsidP="0068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2579">
        <w:rPr>
          <w:rFonts w:ascii="Times New Roman" w:eastAsia="Times New Roman" w:hAnsi="Times New Roman"/>
          <w:sz w:val="28"/>
          <w:szCs w:val="28"/>
        </w:rPr>
        <w:t>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B4319A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 </w:t>
      </w:r>
      <w:r w:rsidR="00BF2E7D" w:rsidRPr="008B08AA">
        <w:rPr>
          <w:rFonts w:ascii="Times New Roman" w:hAnsi="Times New Roman" w:cs="Times New Roman"/>
          <w:b w:val="0"/>
          <w:sz w:val="28"/>
          <w:szCs w:val="28"/>
        </w:rPr>
        <w:t>июн</w:t>
      </w:r>
      <w:r w:rsidRPr="008B08A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№ 298 утвержден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</w:t>
      </w:r>
      <w:proofErr w:type="gramEnd"/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 правовых актов муниципального района "Забайкальский район", затрагивающих вопросы осуществления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1C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муниципального района «Забайкальский район» </w:t>
      </w:r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zabaikalskadm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973F3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C21D7" w:rsidRPr="00061175">
        <w:rPr>
          <w:rFonts w:ascii="Times New Roman" w:hAnsi="Times New Roman" w:cs="Times New Roman"/>
          <w:b w:val="0"/>
          <w:sz w:val="28"/>
          <w:szCs w:val="28"/>
        </w:rPr>
        <w:t>подразделе «Оценка регулирующего воздействия», раздела</w:t>
      </w:r>
      <w:r w:rsidRPr="00061175">
        <w:rPr>
          <w:rFonts w:ascii="Times New Roman" w:hAnsi="Times New Roman" w:cs="Times New Roman"/>
          <w:b w:val="0"/>
          <w:sz w:val="28"/>
          <w:szCs w:val="28"/>
        </w:rPr>
        <w:t xml:space="preserve"> «Развитие предпринимательства»</w:t>
      </w:r>
      <w:r w:rsidR="001C21D7" w:rsidRPr="0006117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F2E7D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проведения экспертизы муниципальных нормативных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правовых актов муниципального района «Забайкальский район» на 20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2</w:t>
      </w:r>
      <w:r w:rsidR="00FB257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включено </w:t>
      </w:r>
      <w:r w:rsidR="00FB257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27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нормативных правовых акт</w:t>
      </w:r>
      <w:r w:rsidR="00433EF0" w:rsidRPr="006827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6827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которым была проведена экспе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ртиза и подготовлены заключения.</w:t>
      </w:r>
    </w:p>
    <w:p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FB257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было подготовлено:</w:t>
      </w:r>
    </w:p>
    <w:p w:rsidR="004B257C" w:rsidRDefault="00BF2E7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579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DC033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содержащих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</w:t>
      </w:r>
      <w:r w:rsidR="000611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319A" w:rsidRPr="00061175" w:rsidRDefault="004B257C" w:rsidP="00061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257C" w:rsidRDefault="004B257C" w:rsidP="000611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B25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к докладу о развитии и результатах процедуры оценки регулирующего воздействия в муниципальном районе</w:t>
      </w:r>
    </w:p>
    <w:p w:rsidR="00B4319A" w:rsidRDefault="00943518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«Забайкальский район»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B25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257C" w:rsidRPr="004B25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8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FB2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="00FB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20.01.2023 г</w:t>
            </w:r>
            <w:r w:rsidR="00CE31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214439" w:rsidRPr="00891CD5" w:rsidRDefault="00891CD5" w:rsidP="00891C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</w:t>
            </w:r>
            <w:proofErr w:type="gramEnd"/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правовых актов муниципального района "Забайкальский район", затрагивающих вопросы осуществления предпринимательской и инвестиционной деятельности 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 </w:t>
            </w: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но органами-разработчиками проектов </w:t>
            </w:r>
            <w:proofErr w:type="gramStart"/>
            <w:r w:rsidR="00214439" w:rsidRPr="007332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214439"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 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календарных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Pr="00061175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11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1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30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FB257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FB257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</w:rPr>
            </w:pPr>
          </w:p>
          <w:p w:rsid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>За 202</w:t>
            </w:r>
            <w:r w:rsidR="00FB2579">
              <w:rPr>
                <w:rFonts w:ascii="Times New Roman" w:hAnsi="Times New Roman" w:cs="Times New Roman"/>
                <w:iCs/>
                <w:sz w:val="24"/>
                <w:szCs w:val="20"/>
              </w:rPr>
              <w:t>2</w:t>
            </w:r>
            <w:r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год проводилась экспертиза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 w:rsidR="00FB2579">
              <w:rPr>
                <w:rFonts w:ascii="Times New Roman" w:hAnsi="Times New Roman" w:cs="Times New Roman"/>
                <w:iCs/>
                <w:sz w:val="24"/>
                <w:szCs w:val="20"/>
              </w:rPr>
              <w:t>6</w:t>
            </w:r>
            <w:bookmarkStart w:id="0" w:name="_GoBack"/>
            <w:bookmarkEnd w:id="0"/>
            <w:r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 w:rsidR="0091623E"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>муниципальных нормативн</w:t>
            </w:r>
            <w:r w:rsidR="00FA0804"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>ых</w:t>
            </w:r>
            <w:r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правовых актов</w:t>
            </w:r>
          </w:p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рекомендациям Минэкономразвития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lastRenderedPageBreak/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8B08A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A676F7" w:rsidRPr="00731D85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1230A" w:rsidRPr="00A676F7" w:rsidRDefault="0051230A" w:rsidP="008B08A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51230A" w:rsidRPr="0051230A" w:rsidRDefault="00A676F7" w:rsidP="0051230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20"/>
              </w:rPr>
              <w:t>_____________</w:t>
            </w:r>
            <w:r w:rsidR="0051230A">
              <w:rPr>
                <w:rFonts w:ascii="Times New Roman" w:hAnsi="Times New Roman" w:cs="Times New Roman"/>
                <w:sz w:val="6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230A" w:rsidRPr="00733210" w:rsidRDefault="0051230A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214439" w:rsidRPr="00731D85" w:rsidRDefault="00731D85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6F7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от 26.11.2019 года «О взаимодействии между администрацией муниципального района "Забайкальский район" и Уполномоченным по защите прав </w:t>
            </w:r>
            <w:r w:rsidR="00605F34">
              <w:rPr>
                <w:rFonts w:ascii="Times New Roman" w:hAnsi="Times New Roman" w:cs="Times New Roman"/>
                <w:sz w:val="20"/>
                <w:szCs w:val="20"/>
              </w:rPr>
              <w:t>предпринимателей в Забайкальском крае при проведении процедуры оценки регулярного воздействия»</w:t>
            </w:r>
          </w:p>
          <w:p w:rsidR="00605F34" w:rsidRPr="00605F34" w:rsidRDefault="00605F34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D6" w:rsidRDefault="00A652D6" w:rsidP="00214439">
      <w:pPr>
        <w:spacing w:after="0" w:line="240" w:lineRule="auto"/>
      </w:pPr>
      <w:r>
        <w:separator/>
      </w:r>
    </w:p>
  </w:endnote>
  <w:endnote w:type="continuationSeparator" w:id="0">
    <w:p w:rsidR="00A652D6" w:rsidRDefault="00A652D6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D6" w:rsidRDefault="00A652D6" w:rsidP="00214439">
      <w:pPr>
        <w:spacing w:after="0" w:line="240" w:lineRule="auto"/>
      </w:pPr>
      <w:r>
        <w:separator/>
      </w:r>
    </w:p>
  </w:footnote>
  <w:footnote w:type="continuationSeparator" w:id="0">
    <w:p w:rsidR="00A652D6" w:rsidRDefault="00A652D6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9"/>
    <w:rsid w:val="00001869"/>
    <w:rsid w:val="00015E0B"/>
    <w:rsid w:val="000458D5"/>
    <w:rsid w:val="00061175"/>
    <w:rsid w:val="0009643D"/>
    <w:rsid w:val="0019073C"/>
    <w:rsid w:val="001C21D7"/>
    <w:rsid w:val="00214439"/>
    <w:rsid w:val="0028521A"/>
    <w:rsid w:val="003105F5"/>
    <w:rsid w:val="0033735E"/>
    <w:rsid w:val="0035351E"/>
    <w:rsid w:val="003A7656"/>
    <w:rsid w:val="003C3E35"/>
    <w:rsid w:val="003E7B0E"/>
    <w:rsid w:val="00433EF0"/>
    <w:rsid w:val="004776AC"/>
    <w:rsid w:val="004B257C"/>
    <w:rsid w:val="004F713D"/>
    <w:rsid w:val="0051230A"/>
    <w:rsid w:val="005210AB"/>
    <w:rsid w:val="005232DE"/>
    <w:rsid w:val="0054228E"/>
    <w:rsid w:val="0056462A"/>
    <w:rsid w:val="005D106B"/>
    <w:rsid w:val="00605F34"/>
    <w:rsid w:val="006720CB"/>
    <w:rsid w:val="006827DE"/>
    <w:rsid w:val="006C0D62"/>
    <w:rsid w:val="00701CF7"/>
    <w:rsid w:val="007144E9"/>
    <w:rsid w:val="00731D85"/>
    <w:rsid w:val="00815FD8"/>
    <w:rsid w:val="00835687"/>
    <w:rsid w:val="00842151"/>
    <w:rsid w:val="00854678"/>
    <w:rsid w:val="008831C6"/>
    <w:rsid w:val="008867E9"/>
    <w:rsid w:val="00891B04"/>
    <w:rsid w:val="00891CD5"/>
    <w:rsid w:val="008B08AA"/>
    <w:rsid w:val="008B0FC9"/>
    <w:rsid w:val="0091623E"/>
    <w:rsid w:val="00926F32"/>
    <w:rsid w:val="00943518"/>
    <w:rsid w:val="00973F30"/>
    <w:rsid w:val="00A2681C"/>
    <w:rsid w:val="00A34DA2"/>
    <w:rsid w:val="00A652D6"/>
    <w:rsid w:val="00A676F7"/>
    <w:rsid w:val="00AA5FDD"/>
    <w:rsid w:val="00B12EA7"/>
    <w:rsid w:val="00B4319A"/>
    <w:rsid w:val="00B56724"/>
    <w:rsid w:val="00B5715C"/>
    <w:rsid w:val="00B77A83"/>
    <w:rsid w:val="00BB35D4"/>
    <w:rsid w:val="00BF2E7D"/>
    <w:rsid w:val="00C1277A"/>
    <w:rsid w:val="00C349E6"/>
    <w:rsid w:val="00C76D7D"/>
    <w:rsid w:val="00CE3184"/>
    <w:rsid w:val="00D14DD1"/>
    <w:rsid w:val="00D96853"/>
    <w:rsid w:val="00DC0335"/>
    <w:rsid w:val="00EB7BC5"/>
    <w:rsid w:val="00EC3C64"/>
    <w:rsid w:val="00FA0804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2D75-AD36-43C1-85F6-53F8555C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2023-01-20T05:11:00Z</cp:lastPrinted>
  <dcterms:created xsi:type="dcterms:W3CDTF">2023-01-20T05:16:00Z</dcterms:created>
  <dcterms:modified xsi:type="dcterms:W3CDTF">2023-01-20T05:16:00Z</dcterms:modified>
</cp:coreProperties>
</file>